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sz w:val="34"/>
          <w:szCs w:val="34"/>
        </w:rPr>
        <w:t xml:space="preserve">Анкета-заявка на підключення до API відкритого банкінгу</w:t>
      </w:r>
    </w:p>
    <w:p>
      <w:pPr>
        <w:spacing w:after="120"/>
      </w:pPr>
      <w:r>
        <w:rPr>
          <w:color w:val="555555"/>
        </w:rPr>
        <w:t xml:space="preserve">Для сторонніх надавачів платіжних послуг (TPP — AISP/PISP) · чернетка (ред. 1) · 2026-07-06</w:t>
      </w:r>
    </w:p>
    <w:p>
      <w:pPr>
        <w:spacing w:after="120"/>
      </w:pPr>
      <w:r>
        <w:t xml:space="preserve">Заповнену анкету та додатки надішліть на адресу: ____________________ (виділена скринька банку). Банк підтверджує отримання протягом 2 робочих днів. Обов'язковий додаток — тестовий QWAC-сертифікат (PEM).</w:t>
      </w:r>
    </w:p>
    <w:p>
      <w:pPr>
        <w:pStyle w:val="Heading1"/>
      </w:pPr>
      <w:r>
        <w:t xml:space="preserve">1. Відомості про заявника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426"/>
      </w:tblGrid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9E6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</w:rPr>
              <w:t xml:space="preserve">Поле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9E6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</w:rPr>
              <w:t xml:space="preserve">Значення</w:t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>Повне найменування (юридична назва)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>Код ЄДРПОУ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>Місцезнаходження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>Вебсайт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>Керівник (ПІБ, посада)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</w:tr>
    </w:tbl>
    <w:p>
      <w:pPr>
        <w:pStyle w:val="Heading1"/>
      </w:pPr>
      <w:r>
        <w:t xml:space="preserve">2. Авторизація НБУ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426"/>
      </w:tblGrid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9E6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</w:rPr>
              <w:t xml:space="preserve">Поле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9E6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</w:rPr>
              <w:t xml:space="preserve">Значення</w:t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>ID НБУ (формат PSDUA-NBU-…)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>Заявлені ролі (AISP / PISP / обидві)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>Дата включення до РПІ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</w:tr>
    </w:tbl>
    <w:p>
      <w:pPr>
        <w:spacing w:after="120"/>
      </w:pPr>
      <w:r>
        <w:rPr>
          <w:i/>
          <w:iCs/>
        </w:rPr>
        <w:t xml:space="preserve">Банк самостійно звіряє дані з Реєстром платіжної інфраструктури НБУ; статус послуги має бути «Активна».</w:t>
      </w:r>
    </w:p>
    <w:p>
      <w:pPr>
        <w:pStyle w:val="Heading1"/>
      </w:pPr>
      <w:r>
        <w:t xml:space="preserve">3. Сертифікати відкритого банкінгу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426"/>
      </w:tblGrid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9E6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</w:rPr>
              <w:t xml:space="preserve">Поле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9E6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</w:rPr>
              <w:t xml:space="preserve">Значення</w:t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>QTSP (надавач довірчих послуг)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>QWAC: серійний номер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>QWAC: строк дії (від / до)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>QSealC: серійний номер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>QSealC: строк дії (від / до)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>Тестовий QWAC (PEM) додано (так/ні)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</w:tr>
    </w:tbl>
    <w:p>
      <w:pPr>
        <w:pStyle w:val="Heading1"/>
      </w:pPr>
      <w:r>
        <w:t xml:space="preserve">4. Контактні особи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500"/>
        <w:gridCol w:w="2326"/>
        <w:gridCol w:w="2000"/>
      </w:tblGrid>
      <w:tr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9E6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</w:rPr>
              <w:t xml:space="preserve">Роль</w:t>
            </w:r>
          </w:p>
        </w:tc>
        <w:tc>
          <w:tcPr>
            <w:tcW w:type="dxa" w:w="2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9E6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</w:rPr>
              <w:t xml:space="preserve">ПІБ, посада</w:t>
            </w:r>
          </w:p>
        </w:tc>
        <w:tc>
          <w:tcPr>
            <w:tcW w:type="dxa" w:w="23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9E6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</w:rPr>
              <w:t xml:space="preserve">Email</w:t>
            </w:r>
          </w:p>
        </w:tc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9E6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</w:rPr>
              <w:t xml:space="preserve">Телефон</w:t>
            </w:r>
          </w:p>
        </w:tc>
      </w:tr>
      <w:tr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>Ділова (договір)</w:t>
            </w:r>
          </w:p>
        </w:tc>
        <w:tc>
          <w:tcPr>
            <w:tcW w:type="dxa" w:w="2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  <w:tc>
          <w:tcPr>
            <w:tcW w:type="dxa" w:w="23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>Технічна (інтеграція)</w:t>
            </w:r>
          </w:p>
        </w:tc>
        <w:tc>
          <w:tcPr>
            <w:tcW w:type="dxa" w:w="2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  <w:tc>
          <w:tcPr>
            <w:tcW w:type="dxa" w:w="23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W w:type="dxa" w:w="2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>Інформаційна безпека</w:t>
            </w:r>
          </w:p>
        </w:tc>
        <w:tc>
          <w:tcPr>
            <w:tcW w:type="dxa" w:w="2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  <w:tc>
          <w:tcPr>
            <w:tcW w:type="dxa" w:w="23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  <w:tc>
          <w:tcPr>
            <w:tcW w:type="dxa" w:w="20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</w:tr>
    </w:tbl>
    <w:p>
      <w:pPr>
        <w:pStyle w:val="Heading1"/>
      </w:pPr>
      <w:r>
        <w:t xml:space="preserve">5. Технічні відомості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426"/>
      </w:tblGrid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9E6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</w:rPr>
              <w:t xml:space="preserve">Поле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9E6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</w:rPr>
              <w:t xml:space="preserve">Значення</w:t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>Послуги, що планують надаватися (AIS / PIS)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>Стислий опис сервісу для клієнтів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>Очікувана кількість запитів (на добу, орієнтовно)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>Планована дата початку роботи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</w:tr>
    </w:tbl>
    <w:p>
      <w:pPr>
        <w:pStyle w:val="Heading1"/>
      </w:pPr>
      <w:r>
        <w:t xml:space="preserve">6. Страхування відповідальності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426"/>
      </w:tblGrid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9E6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</w:rPr>
              <w:t xml:space="preserve">Поле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9E6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</w:rPr>
              <w:t xml:space="preserve">Значення</w:t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>Страховик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>Номер і дата договору страхування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>Строк дії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</w:tr>
    </w:tbl>
    <w:p>
      <w:pPr>
        <w:spacing w:after="120"/>
      </w:pPr>
      <w:r>
        <w:rPr>
          <w:i/>
          <w:iCs/>
        </w:rPr>
        <w:t xml:space="preserve">Відповідно до постанови Правління НБУ № 71 (страхування відповідальності надавача нефінансових платіжних послуг).</w:t>
      </w:r>
    </w:p>
    <w:p>
      <w:pPr>
        <w:pStyle w:val="Heading1"/>
      </w:pPr>
      <w:r>
        <w:t xml:space="preserve">7. Підтвердження та підпис</w:t>
      </w:r>
    </w:p>
    <w:p>
      <w:pPr>
        <w:spacing w:after="120"/>
      </w:pPr>
      <w:r>
        <w:t xml:space="preserve">Підписанням цієї анкети заявник підтверджує: достовірність наведених даних; ознайомлення з умовами підключення та технічною документацією банку; згоду на перевірку даних у реєстрах НБУ; зобов'язання повідомляти банк про зміну статусу авторизації, перевипуск або відкликання сертифікатів.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426"/>
      </w:tblGrid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9E6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</w:rPr>
              <w:t xml:space="preserve">Поле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D9E6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</w:rPr>
              <w:t xml:space="preserve">Значення</w:t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>Дата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>Посада, ПІБ підписанта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>Підпис / КЕП</w:t>
            </w:r>
          </w:p>
        </w:tc>
        <w:tc>
          <w:tcPr>
            <w:tcW w:type="dxa" w:w="54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t xml:space="preserve"/>
            </w:r>
          </w:p>
        </w:tc>
      </w:tr>
    </w:tbl>
    <w:p>
      <w:pPr>
        <w:pStyle w:val="Heading1"/>
      </w:pPr>
      <w:r>
        <w:t xml:space="preserve">Додатки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</w:rPr>
        <w:t xml:space="preserve">Тестовий QWAC-сертифікат (PEM) — обов'язково.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</w:rPr>
        <w:t xml:space="preserve">Копія договору страхування відповідальності (№ 71) — за запитом банку.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</w:rPr>
        <w:t xml:space="preserve">Інші документи за запитом банку.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20"/>
      <w:outlineLvl w:val="1"/>
    </w:pPr>
    <w:rPr>
      <w:rFonts w:ascii="Arial" w:cs="Arial" w:eastAsia="Arial" w:hAnsi="Arial"/>
      <w:b/>
      <w:bCs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2026-07-06T14:14:33.762Z</dcterms:created>
  <dcterms:modified xsi:type="dcterms:W3CDTF">2026-07-06T14:14:33.762Z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